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方正小标宋简体" w:hAnsi="方正小标宋简体" w:eastAsia="方正小标宋简体" w:cs="方正小标宋简体"/>
          <w:sz w:val="44"/>
          <w:szCs w:val="44"/>
          <w:lang w:val="zh-TW"/>
        </w:rPr>
      </w:pPr>
      <w:r>
        <w:rPr>
          <w:rFonts w:hint="eastAsia" w:ascii="方正小标宋简体" w:hAnsi="方正小标宋简体" w:eastAsia="方正小标宋简体" w:cs="方正小标宋简体"/>
          <w:sz w:val="44"/>
          <w:szCs w:val="44"/>
        </w:rPr>
        <w:t>成华区残联</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val="zh-TW" w:eastAsia="zh-TW"/>
        </w:rPr>
        <w:t>档案</w:t>
      </w:r>
      <w:r>
        <w:rPr>
          <w:rFonts w:hint="eastAsia" w:ascii="方正小标宋简体" w:hAnsi="方正小标宋简体" w:eastAsia="方正小标宋简体" w:cs="方正小标宋简体"/>
          <w:sz w:val="44"/>
          <w:szCs w:val="44"/>
          <w:lang w:val="zh-TW" w:eastAsia="zh-CN"/>
        </w:rPr>
        <w:t>规范化</w:t>
      </w:r>
      <w:r>
        <w:rPr>
          <w:rFonts w:hint="eastAsia" w:ascii="方正小标宋简体" w:hAnsi="方正小标宋简体" w:eastAsia="方正小标宋简体" w:cs="方正小标宋简体"/>
          <w:sz w:val="44"/>
          <w:szCs w:val="44"/>
          <w:lang w:val="zh-TW"/>
        </w:rPr>
        <w:t>整理及</w:t>
      </w:r>
      <w:r>
        <w:rPr>
          <w:rFonts w:hint="default" w:ascii="方正小标宋简体" w:hAnsi="方正小标宋简体" w:eastAsia="方正小标宋简体" w:cs="方正小标宋简体"/>
          <w:sz w:val="44"/>
          <w:szCs w:val="44"/>
          <w:lang w:val="zh-TW"/>
        </w:rPr>
        <w:t>数字化</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采购需求</w:t>
      </w:r>
    </w:p>
    <w:p>
      <w:pPr>
        <w:spacing w:line="500" w:lineRule="exact"/>
        <w:jc w:val="center"/>
        <w:rPr>
          <w:rFonts w:ascii="方正小标宋简体" w:hAnsi="方正小标宋简体" w:eastAsia="方正小标宋简体" w:cs="方正小标宋简体"/>
          <w:sz w:val="36"/>
          <w:szCs w:val="36"/>
        </w:rPr>
      </w:pPr>
    </w:p>
    <w:p>
      <w:pPr>
        <w:spacing w:line="500" w:lineRule="exact"/>
      </w:pPr>
    </w:p>
    <w:p>
      <w:pPr>
        <w:spacing w:line="500" w:lineRule="exact"/>
        <w:ind w:firstLine="462" w:firstLineChars="200"/>
        <w:rPr>
          <w:b/>
          <w:bCs/>
          <w:sz w:val="24"/>
        </w:rPr>
      </w:pPr>
      <w:r>
        <w:rPr>
          <w:rFonts w:hint="eastAsia" w:ascii="方正黑体简体" w:hAnsi="方正黑体简体" w:eastAsia="方正黑体简体" w:cs="方正黑体简体"/>
          <w:sz w:val="24"/>
        </w:rPr>
        <w:t>一、项目概况</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项目名称：成华区残联</w:t>
      </w:r>
      <w:r>
        <w:rPr>
          <w:rFonts w:hint="eastAsia" w:ascii="Times New Roman" w:hAnsi="Times New Roman"/>
          <w:sz w:val="24"/>
          <w:lang w:val="en-US" w:eastAsia="zh-CN"/>
        </w:rPr>
        <w:t>2021年</w:t>
      </w:r>
      <w:r>
        <w:rPr>
          <w:rFonts w:hint="eastAsia" w:ascii="Times New Roman" w:hAnsi="Times New Roman"/>
          <w:sz w:val="24"/>
          <w:lang w:eastAsia="zh-CN"/>
        </w:rPr>
        <w:t>档案规范化整理及数字化</w:t>
      </w:r>
      <w:r>
        <w:rPr>
          <w:rFonts w:hint="eastAsia" w:ascii="Times New Roman" w:hAnsi="Times New Roman"/>
          <w:sz w:val="24"/>
        </w:rPr>
        <w:t>服务</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采购单位：成华区残疾人联合会</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采购方式：比选采购</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资金来源：财政资金</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采购内容：项目总承包</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采购包数：</w:t>
      </w:r>
      <w:r>
        <w:rPr>
          <w:rFonts w:ascii="Times New Roman" w:hAnsi="Times New Roman"/>
          <w:sz w:val="24"/>
        </w:rPr>
        <w:t>1</w:t>
      </w:r>
      <w:r>
        <w:rPr>
          <w:rFonts w:hint="eastAsia" w:ascii="Times New Roman" w:hAnsi="Times New Roman"/>
          <w:sz w:val="24"/>
        </w:rPr>
        <w:t>个</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采购控制价：</w:t>
      </w:r>
      <w:r>
        <w:rPr>
          <w:rFonts w:hint="eastAsia" w:ascii="Times New Roman" w:hAnsi="Times New Roman"/>
          <w:sz w:val="24"/>
          <w:lang w:val="en-US" w:eastAsia="zh-CN"/>
        </w:rPr>
        <w:t>1.8</w:t>
      </w:r>
      <w:r>
        <w:rPr>
          <w:rFonts w:hint="eastAsia" w:ascii="Times New Roman" w:hAnsi="Times New Roman"/>
          <w:sz w:val="24"/>
        </w:rPr>
        <w:t xml:space="preserve">万元 </w:t>
      </w:r>
    </w:p>
    <w:p>
      <w:pPr>
        <w:spacing w:line="500" w:lineRule="exact"/>
        <w:ind w:firstLine="462" w:firstLineChars="200"/>
        <w:rPr>
          <w:sz w:val="24"/>
        </w:rPr>
      </w:pPr>
      <w:r>
        <w:rPr>
          <w:rFonts w:hint="eastAsia" w:ascii="方正黑体简体" w:hAnsi="方正黑体简体" w:eastAsia="方正黑体简体" w:cs="方正黑体简体"/>
          <w:sz w:val="24"/>
        </w:rPr>
        <w:t>二、供应商资格条件</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具备《中华人民共和国政府采购法》第二十二条规定的条件；</w:t>
      </w:r>
    </w:p>
    <w:p>
      <w:pPr>
        <w:spacing w:line="500" w:lineRule="exact"/>
        <w:ind w:firstLine="462" w:firstLineChars="200"/>
        <w:rPr>
          <w:rFonts w:ascii="Times New Roman" w:hAnsi="Times New Roman"/>
          <w:sz w:val="24"/>
        </w:rPr>
      </w:pPr>
      <w:r>
        <w:rPr>
          <w:rFonts w:ascii="Times New Roman" w:hAnsi="Times New Roman"/>
          <w:sz w:val="24"/>
        </w:rPr>
        <w:t>8.1</w:t>
      </w:r>
      <w:r>
        <w:rPr>
          <w:rFonts w:hint="eastAsia" w:ascii="Times New Roman" w:hAnsi="Times New Roman"/>
          <w:sz w:val="24"/>
        </w:rPr>
        <w:t>具备独立的承担民事责任能力；</w:t>
      </w:r>
    </w:p>
    <w:p>
      <w:pPr>
        <w:spacing w:line="500" w:lineRule="exact"/>
        <w:ind w:firstLine="462" w:firstLineChars="200"/>
        <w:rPr>
          <w:rFonts w:ascii="Times New Roman" w:hAnsi="Times New Roman"/>
          <w:sz w:val="24"/>
        </w:rPr>
      </w:pPr>
      <w:r>
        <w:rPr>
          <w:rFonts w:ascii="Times New Roman" w:hAnsi="Times New Roman"/>
          <w:sz w:val="24"/>
        </w:rPr>
        <w:t>8.2</w:t>
      </w:r>
      <w:r>
        <w:rPr>
          <w:rFonts w:hint="eastAsia" w:ascii="Times New Roman" w:hAnsi="Times New Roman"/>
          <w:sz w:val="24"/>
        </w:rPr>
        <w:t>具有良好的商业信誉和健全的财务会计制度；</w:t>
      </w:r>
    </w:p>
    <w:p>
      <w:pPr>
        <w:spacing w:line="500" w:lineRule="exact"/>
        <w:ind w:firstLine="462" w:firstLineChars="200"/>
        <w:rPr>
          <w:rFonts w:ascii="Times New Roman" w:hAnsi="Times New Roman"/>
          <w:sz w:val="24"/>
        </w:rPr>
      </w:pPr>
      <w:r>
        <w:rPr>
          <w:rFonts w:ascii="Times New Roman" w:hAnsi="Times New Roman"/>
          <w:sz w:val="24"/>
        </w:rPr>
        <w:t>8.3</w:t>
      </w:r>
      <w:r>
        <w:rPr>
          <w:rFonts w:hint="eastAsia" w:ascii="Times New Roman" w:hAnsi="Times New Roman"/>
          <w:sz w:val="24"/>
        </w:rPr>
        <w:t>具有依法缴纳税收和社会保障资金的良好记录：</w:t>
      </w:r>
    </w:p>
    <w:p>
      <w:pPr>
        <w:spacing w:line="500" w:lineRule="exact"/>
        <w:ind w:firstLine="462" w:firstLineChars="200"/>
        <w:rPr>
          <w:rFonts w:ascii="Times New Roman" w:hAnsi="Times New Roman"/>
          <w:sz w:val="24"/>
        </w:rPr>
      </w:pPr>
      <w:r>
        <w:rPr>
          <w:rFonts w:ascii="Times New Roman" w:hAnsi="Times New Roman"/>
          <w:sz w:val="24"/>
        </w:rPr>
        <w:t>8.4</w:t>
      </w:r>
      <w:r>
        <w:rPr>
          <w:rFonts w:hint="eastAsia" w:ascii="Times New Roman" w:hAnsi="Times New Roman"/>
          <w:sz w:val="24"/>
        </w:rPr>
        <w:t>具有履行合同所必须的设备和专业技术能力；</w:t>
      </w:r>
    </w:p>
    <w:p>
      <w:pPr>
        <w:spacing w:line="500" w:lineRule="exact"/>
        <w:ind w:firstLine="462" w:firstLineChars="200"/>
        <w:rPr>
          <w:rFonts w:ascii="Times New Roman" w:hAnsi="Times New Roman"/>
          <w:sz w:val="24"/>
        </w:rPr>
      </w:pPr>
      <w:r>
        <w:rPr>
          <w:rFonts w:ascii="Times New Roman" w:hAnsi="Times New Roman"/>
          <w:sz w:val="24"/>
        </w:rPr>
        <w:t>8.5</w:t>
      </w:r>
      <w:r>
        <w:rPr>
          <w:rFonts w:hint="eastAsia" w:ascii="Times New Roman" w:hAnsi="Times New Roman"/>
          <w:sz w:val="24"/>
        </w:rPr>
        <w:t>参加本次政府采购活动前三年内，在经营活动中没有重大违法记录，遵守《中华人民共和国政府采购法》及其他相关法律和法规。</w:t>
      </w:r>
    </w:p>
    <w:p>
      <w:pPr>
        <w:spacing w:line="500" w:lineRule="exact"/>
        <w:ind w:firstLine="462" w:firstLineChars="200"/>
        <w:rPr>
          <w:rFonts w:ascii="Times New Roman" w:hAnsi="Times New Roman"/>
          <w:sz w:val="24"/>
        </w:rPr>
      </w:pPr>
      <w:r>
        <w:rPr>
          <w:rFonts w:ascii="Times New Roman" w:hAnsi="Times New Roman"/>
          <w:sz w:val="24"/>
        </w:rPr>
        <w:t>8.6</w:t>
      </w:r>
      <w:r>
        <w:rPr>
          <w:rFonts w:hint="eastAsia" w:ascii="Times New Roman" w:hAnsi="Times New Roman"/>
          <w:sz w:val="24"/>
        </w:rPr>
        <w:t>法律、行政法规规定的其他条件。</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单位负责人为同一人或者存在控股、管理关系的不同供应商，不得参加同一合同项下的政府采购活动。</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投标人未对本次采购项目提供过整体设计、规范编制或者项目管理、监理、检测等服务。</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投标人单位及其现任法定代表人不得具有行贿犯罪记录。</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本项目的特殊要求</w:t>
      </w:r>
      <w:r>
        <w:rPr>
          <w:rFonts w:hint="eastAsia" w:ascii="Times New Roman" w:hAnsi="Times New Roman"/>
          <w:sz w:val="24"/>
          <w:lang w:eastAsia="zh-CN"/>
        </w:rPr>
        <w:t>：</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本项目不接受联合体投标</w:t>
      </w:r>
      <w:r>
        <w:rPr>
          <w:rFonts w:ascii="Times New Roman" w:hAnsi="Times New Roman"/>
          <w:sz w:val="24"/>
        </w:rPr>
        <w:t>/</w:t>
      </w:r>
      <w:r>
        <w:rPr>
          <w:rFonts w:hint="eastAsia" w:ascii="Times New Roman" w:hAnsi="Times New Roman"/>
          <w:sz w:val="24"/>
        </w:rPr>
        <w:t>磋商。</w:t>
      </w:r>
    </w:p>
    <w:p>
      <w:pPr>
        <w:numPr>
          <w:ilvl w:val="0"/>
          <w:numId w:val="1"/>
        </w:numPr>
        <w:spacing w:line="500" w:lineRule="exact"/>
        <w:ind w:firstLine="462" w:firstLineChars="200"/>
        <w:rPr>
          <w:rFonts w:ascii="Times New Roman" w:hAnsi="Times New Roman"/>
          <w:sz w:val="24"/>
        </w:rPr>
      </w:pPr>
      <w:r>
        <w:rPr>
          <w:rFonts w:hint="eastAsia" w:ascii="Times New Roman" w:hAnsi="Times New Roman"/>
          <w:sz w:val="24"/>
        </w:rPr>
        <w:t>技术参数及其他要求</w:t>
      </w:r>
      <w:r>
        <w:rPr>
          <w:rFonts w:hint="eastAsia" w:ascii="Times New Roman" w:hAnsi="Times New Roman"/>
          <w:sz w:val="24"/>
          <w:lang w:eastAsia="zh-CN"/>
        </w:rPr>
        <w:t>。</w:t>
      </w:r>
    </w:p>
    <w:p>
      <w:pPr>
        <w:spacing w:line="500" w:lineRule="exact"/>
        <w:ind w:firstLine="462" w:firstLineChars="200"/>
        <w:rPr>
          <w:rFonts w:ascii="Times New Roman" w:hAnsi="Times New Roman"/>
          <w:sz w:val="24"/>
        </w:rPr>
      </w:pPr>
      <w:r>
        <w:rPr>
          <w:rFonts w:ascii="Times New Roman" w:hAnsi="Times New Roman"/>
          <w:sz w:val="24"/>
        </w:rPr>
        <w:t>按《</w:t>
      </w:r>
      <w:r>
        <w:fldChar w:fldCharType="begin"/>
      </w:r>
      <w:r>
        <w:instrText xml:space="preserve"> HYPERLINK "http://www.cdarchive.chengdu.gov.cn/TextPage/Show.aspx/2620" </w:instrText>
      </w:r>
      <w:r>
        <w:fldChar w:fldCharType="separate"/>
      </w:r>
      <w:r>
        <w:rPr>
          <w:rFonts w:ascii="Times New Roman" w:hAnsi="Times New Roman"/>
          <w:sz w:val="24"/>
        </w:rPr>
        <w:t xml:space="preserve">归档文件整理规则 </w:t>
      </w:r>
      <w:r>
        <w:rPr>
          <w:rFonts w:ascii="Times New Roman" w:hAnsi="Times New Roman"/>
          <w:sz w:val="24"/>
        </w:rPr>
        <w:fldChar w:fldCharType="end"/>
      </w:r>
      <w:r>
        <w:rPr>
          <w:rFonts w:ascii="Times New Roman" w:hAnsi="Times New Roman"/>
          <w:sz w:val="24"/>
        </w:rPr>
        <w:t>》、《</w:t>
      </w:r>
      <w:r>
        <w:fldChar w:fldCharType="begin"/>
      </w:r>
      <w:r>
        <w:instrText xml:space="preserve"> HYPERLINK "http://www.cdarchive.chengdu.gov.cn/TextPage/Show.aspx/2613" </w:instrText>
      </w:r>
      <w:r>
        <w:fldChar w:fldCharType="separate"/>
      </w:r>
      <w:r>
        <w:rPr>
          <w:rFonts w:ascii="Times New Roman" w:hAnsi="Times New Roman"/>
          <w:sz w:val="24"/>
        </w:rPr>
        <w:t xml:space="preserve">会计档案管理办法 </w:t>
      </w:r>
      <w:r>
        <w:rPr>
          <w:rFonts w:ascii="Times New Roman" w:hAnsi="Times New Roman"/>
          <w:sz w:val="24"/>
        </w:rPr>
        <w:fldChar w:fldCharType="end"/>
      </w:r>
      <w:r>
        <w:rPr>
          <w:rFonts w:ascii="Times New Roman" w:hAnsi="Times New Roman"/>
          <w:sz w:val="24"/>
        </w:rPr>
        <w:t>》、《</w:t>
      </w:r>
      <w:r>
        <w:fldChar w:fldCharType="begin"/>
      </w:r>
      <w:r>
        <w:instrText xml:space="preserve"> HYPERLINK "http://www.cdarchive.chengdu.gov.cn/TextPage/Show.aspx/2622" </w:instrText>
      </w:r>
      <w:r>
        <w:fldChar w:fldCharType="separate"/>
      </w:r>
      <w:r>
        <w:rPr>
          <w:rFonts w:ascii="Times New Roman" w:hAnsi="Times New Roman"/>
          <w:sz w:val="24"/>
        </w:rPr>
        <w:t>国家档案局令（第8号</w:t>
      </w:r>
      <w:r>
        <w:rPr>
          <w:rFonts w:ascii="Times New Roman" w:hAnsi="Times New Roman"/>
          <w:sz w:val="24"/>
        </w:rPr>
        <w:fldChar w:fldCharType="end"/>
      </w:r>
      <w:r>
        <w:rPr>
          <w:rFonts w:ascii="Times New Roman" w:hAnsi="Times New Roman"/>
          <w:sz w:val="24"/>
        </w:rPr>
        <w:t>令）》、《四川省文书立卷与案卷构成的一般要求》、《规档文件整理规则DA/T 22-2015》、《成华区扶贫办 区档案局关于转发&lt;成都市农村扶贫开发领导小组办公室 成都市农业农村局 成都市档案局关于印发成都市精准扶贫档案工作实施方案的通知&gt;的通知》、《成都市档案馆关于做好全市新型冠状病毒肺炎疫情防控工作文件材料收集归档工作指导意见的函》等相关要求提供档案整理及立卷归档服务。完成2020年度档案立卷归档整理工作及永久、30年档案数字化加工；完成2017—2020年扶贫攻坚档案立卷归档整理及数字化加工；完成2020年疫情防控档案立卷归档整理及数字化加工。</w:t>
      </w:r>
    </w:p>
    <w:p>
      <w:pPr>
        <w:spacing w:line="400" w:lineRule="exact"/>
        <w:ind w:firstLine="28"/>
        <w:rPr>
          <w:rFonts w:hAnsi="宋体"/>
          <w:sz w:val="24"/>
        </w:rPr>
      </w:pPr>
      <w:r>
        <w:rPr>
          <w:rFonts w:hint="eastAsia" w:ascii="方正黑体简体" w:hAnsi="方正黑体简体" w:eastAsia="方正黑体简体" w:cs="方正黑体简体"/>
          <w:sz w:val="24"/>
        </w:rPr>
        <w:t>三、综合评分明细表（分值</w:t>
      </w:r>
      <w:r>
        <w:rPr>
          <w:rFonts w:ascii="方正黑体简体" w:hAnsi="方正黑体简体" w:eastAsia="方正黑体简体" w:cs="方正黑体简体"/>
          <w:sz w:val="24"/>
        </w:rPr>
        <w:t>100</w:t>
      </w:r>
      <w:r>
        <w:rPr>
          <w:rFonts w:hint="eastAsia" w:ascii="方正黑体简体" w:hAnsi="方正黑体简体" w:eastAsia="方正黑体简体" w:cs="方正黑体简体"/>
          <w:sz w:val="24"/>
        </w:rPr>
        <w:t>分）</w:t>
      </w:r>
    </w:p>
    <w:tbl>
      <w:tblPr>
        <w:tblStyle w:val="10"/>
        <w:tblW w:w="9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260"/>
        <w:gridCol w:w="742"/>
        <w:gridCol w:w="5868"/>
        <w:gridCol w:w="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trPr>
        <w:tc>
          <w:tcPr>
            <w:tcW w:w="732" w:type="dxa"/>
            <w:tcBorders>
              <w:top w:val="single" w:color="auto" w:sz="12" w:space="0"/>
            </w:tcBorders>
            <w:vAlign w:val="center"/>
          </w:tcPr>
          <w:p>
            <w:pPr>
              <w:spacing w:line="360" w:lineRule="exact"/>
              <w:jc w:val="center"/>
              <w:rPr>
                <w:rFonts w:ascii="宋体" w:cs="宋体"/>
                <w:color w:val="000000"/>
                <w:sz w:val="24"/>
              </w:rPr>
            </w:pPr>
            <w:r>
              <w:rPr>
                <w:rFonts w:hint="eastAsia" w:ascii="宋体" w:hAnsi="宋体" w:cs="宋体"/>
                <w:color w:val="000000"/>
                <w:sz w:val="24"/>
              </w:rPr>
              <w:t>序号</w:t>
            </w:r>
          </w:p>
        </w:tc>
        <w:tc>
          <w:tcPr>
            <w:tcW w:w="1260" w:type="dxa"/>
            <w:tcBorders>
              <w:top w:val="single" w:color="auto" w:sz="12" w:space="0"/>
            </w:tcBorders>
            <w:vAlign w:val="center"/>
          </w:tcPr>
          <w:p>
            <w:pPr>
              <w:widowControl/>
              <w:adjustRightInd w:val="0"/>
              <w:snapToGrid w:val="0"/>
              <w:spacing w:line="360" w:lineRule="exact"/>
              <w:ind w:firstLine="28"/>
              <w:jc w:val="center"/>
              <w:rPr>
                <w:rFonts w:ascii="宋体" w:cs="宋体"/>
                <w:color w:val="000000"/>
                <w:sz w:val="24"/>
              </w:rPr>
            </w:pPr>
            <w:r>
              <w:rPr>
                <w:rFonts w:hint="eastAsia" w:ascii="宋体" w:hAnsi="宋体" w:cs="宋体"/>
                <w:color w:val="000000"/>
                <w:sz w:val="24"/>
              </w:rPr>
              <w:t>评分因素</w:t>
            </w:r>
          </w:p>
          <w:p>
            <w:pPr>
              <w:spacing w:line="360" w:lineRule="exact"/>
              <w:jc w:val="center"/>
              <w:rPr>
                <w:rFonts w:ascii="宋体" w:cs="宋体"/>
                <w:color w:val="000000"/>
                <w:sz w:val="24"/>
              </w:rPr>
            </w:pPr>
            <w:r>
              <w:rPr>
                <w:rFonts w:hint="eastAsia" w:ascii="宋体" w:hAnsi="宋体" w:cs="宋体"/>
                <w:color w:val="000000"/>
                <w:sz w:val="24"/>
              </w:rPr>
              <w:t>及权重</w:t>
            </w:r>
          </w:p>
        </w:tc>
        <w:tc>
          <w:tcPr>
            <w:tcW w:w="742" w:type="dxa"/>
            <w:tcBorders>
              <w:top w:val="single" w:color="auto" w:sz="12" w:space="0"/>
            </w:tcBorders>
            <w:vAlign w:val="center"/>
          </w:tcPr>
          <w:p>
            <w:pPr>
              <w:spacing w:line="360" w:lineRule="exact"/>
              <w:jc w:val="center"/>
              <w:rPr>
                <w:rFonts w:ascii="宋体" w:cs="宋体"/>
                <w:color w:val="000000"/>
                <w:sz w:val="24"/>
              </w:rPr>
            </w:pPr>
            <w:r>
              <w:rPr>
                <w:rFonts w:hint="eastAsia" w:ascii="宋体" w:hAnsi="宋体" w:cs="宋体"/>
                <w:color w:val="000000"/>
                <w:sz w:val="24"/>
              </w:rPr>
              <w:t>分值</w:t>
            </w:r>
          </w:p>
        </w:tc>
        <w:tc>
          <w:tcPr>
            <w:tcW w:w="5868" w:type="dxa"/>
            <w:tcBorders>
              <w:top w:val="single" w:color="auto" w:sz="12" w:space="0"/>
            </w:tcBorders>
            <w:vAlign w:val="center"/>
          </w:tcPr>
          <w:p>
            <w:pPr>
              <w:spacing w:line="360" w:lineRule="exact"/>
              <w:jc w:val="center"/>
              <w:rPr>
                <w:rFonts w:ascii="宋体" w:cs="宋体"/>
                <w:color w:val="000000"/>
                <w:sz w:val="24"/>
              </w:rPr>
            </w:pPr>
            <w:r>
              <w:rPr>
                <w:rFonts w:hint="eastAsia" w:ascii="宋体" w:hAnsi="宋体" w:cs="宋体"/>
                <w:color w:val="000000"/>
                <w:sz w:val="24"/>
              </w:rPr>
              <w:t>评分标准</w:t>
            </w:r>
          </w:p>
        </w:tc>
        <w:tc>
          <w:tcPr>
            <w:tcW w:w="825" w:type="dxa"/>
            <w:tcBorders>
              <w:top w:val="single" w:color="auto" w:sz="12" w:space="0"/>
            </w:tcBorders>
            <w:vAlign w:val="center"/>
          </w:tcPr>
          <w:p>
            <w:pPr>
              <w:spacing w:line="360" w:lineRule="exact"/>
              <w:jc w:val="center"/>
              <w:rPr>
                <w:rFonts w:ascii="宋体" w:cs="宋体"/>
                <w:color w:val="000000"/>
                <w:sz w:val="24"/>
              </w:rPr>
            </w:pPr>
            <w:r>
              <w:rPr>
                <w:rFonts w:hint="eastAsia" w:ascii="宋体" w:hAnsi="宋体" w:cs="宋体"/>
                <w:color w:val="000000"/>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trPr>
        <w:tc>
          <w:tcPr>
            <w:tcW w:w="732" w:type="dxa"/>
            <w:vAlign w:val="center"/>
          </w:tcPr>
          <w:p>
            <w:pPr>
              <w:spacing w:line="360" w:lineRule="exact"/>
              <w:jc w:val="center"/>
              <w:rPr>
                <w:rFonts w:ascii="宋体" w:hAnsi="宋体" w:cs="宋体"/>
                <w:color w:val="000000"/>
                <w:sz w:val="24"/>
              </w:rPr>
            </w:pPr>
            <w:r>
              <w:rPr>
                <w:rFonts w:ascii="宋体" w:hAnsi="宋体" w:cs="宋体"/>
                <w:color w:val="000000"/>
                <w:sz w:val="24"/>
              </w:rPr>
              <w:t>1</w:t>
            </w:r>
          </w:p>
        </w:tc>
        <w:tc>
          <w:tcPr>
            <w:tcW w:w="1260" w:type="dxa"/>
            <w:vAlign w:val="center"/>
          </w:tcPr>
          <w:p>
            <w:pPr>
              <w:autoSpaceDE w:val="0"/>
              <w:autoSpaceDN w:val="0"/>
              <w:adjustRightInd w:val="0"/>
              <w:spacing w:line="360" w:lineRule="exact"/>
              <w:jc w:val="center"/>
              <w:rPr>
                <w:rFonts w:ascii="宋体" w:hAnsi="宋体" w:cs="宋体"/>
                <w:color w:val="000000"/>
                <w:sz w:val="24"/>
              </w:rPr>
            </w:pPr>
            <w:r>
              <w:rPr>
                <w:rFonts w:hint="eastAsia" w:ascii="宋体" w:hAnsi="宋体" w:cs="宋体"/>
                <w:color w:val="000000"/>
                <w:sz w:val="24"/>
              </w:rPr>
              <w:t>报价</w:t>
            </w:r>
            <w:r>
              <w:rPr>
                <w:rFonts w:ascii="宋体" w:hAnsi="宋体" w:cs="宋体"/>
                <w:color w:val="000000"/>
                <w:sz w:val="24"/>
              </w:rPr>
              <w:t>45%</w:t>
            </w:r>
          </w:p>
        </w:tc>
        <w:tc>
          <w:tcPr>
            <w:tcW w:w="742" w:type="dxa"/>
            <w:vAlign w:val="center"/>
          </w:tcPr>
          <w:p>
            <w:pPr>
              <w:autoSpaceDE w:val="0"/>
              <w:autoSpaceDN w:val="0"/>
              <w:adjustRightInd w:val="0"/>
              <w:spacing w:line="360" w:lineRule="exact"/>
              <w:jc w:val="center"/>
              <w:rPr>
                <w:rFonts w:ascii="宋体" w:cs="宋体"/>
                <w:color w:val="000000"/>
                <w:sz w:val="24"/>
              </w:rPr>
            </w:pPr>
            <w:r>
              <w:rPr>
                <w:rFonts w:ascii="宋体" w:hAnsi="宋体" w:cs="宋体"/>
                <w:color w:val="000000"/>
                <w:sz w:val="24"/>
              </w:rPr>
              <w:t>45</w:t>
            </w:r>
            <w:r>
              <w:rPr>
                <w:rFonts w:hint="eastAsia" w:ascii="宋体" w:hAnsi="宋体" w:cs="宋体"/>
                <w:color w:val="000000"/>
                <w:sz w:val="24"/>
              </w:rPr>
              <w:t>分</w:t>
            </w:r>
          </w:p>
        </w:tc>
        <w:tc>
          <w:tcPr>
            <w:tcW w:w="5868" w:type="dxa"/>
            <w:vAlign w:val="center"/>
          </w:tcPr>
          <w:p>
            <w:pPr>
              <w:widowControl/>
              <w:spacing w:line="360" w:lineRule="exact"/>
              <w:rPr>
                <w:rFonts w:ascii="宋体" w:cs="宋体"/>
                <w:color w:val="000000"/>
                <w:sz w:val="24"/>
              </w:rPr>
            </w:pPr>
            <w:r>
              <w:rPr>
                <w:rFonts w:hint="eastAsia" w:ascii="宋体" w:hAnsi="宋体" w:cs="宋体"/>
                <w:color w:val="000000"/>
                <w:sz w:val="24"/>
              </w:rPr>
              <w:t>满足比选文件要求且投标价格最低的投标报价为评标基准价，其价格分为</w:t>
            </w:r>
            <w:r>
              <w:rPr>
                <w:rFonts w:ascii="宋体" w:hAnsi="宋体" w:cs="宋体"/>
                <w:color w:val="000000"/>
                <w:sz w:val="24"/>
              </w:rPr>
              <w:t>45</w:t>
            </w:r>
            <w:r>
              <w:rPr>
                <w:rFonts w:hint="eastAsia" w:ascii="宋体" w:hAnsi="宋体" w:cs="宋体"/>
                <w:color w:val="000000"/>
                <w:sz w:val="24"/>
              </w:rPr>
              <w:t>分；其它供应商报价得分按以下公式计算：报价得分</w:t>
            </w:r>
            <w:r>
              <w:rPr>
                <w:rFonts w:ascii="宋体" w:hAnsi="宋体" w:cs="宋体"/>
                <w:color w:val="000000"/>
                <w:sz w:val="24"/>
              </w:rPr>
              <w:t>=(</w:t>
            </w:r>
            <w:r>
              <w:rPr>
                <w:rFonts w:hint="eastAsia" w:ascii="宋体" w:hAnsi="宋体" w:cs="宋体"/>
                <w:color w:val="000000"/>
                <w:sz w:val="24"/>
              </w:rPr>
              <w:t>评标基准价／投标报价</w:t>
            </w:r>
            <w:r>
              <w:rPr>
                <w:rFonts w:ascii="宋体" w:hAnsi="宋体" w:cs="宋体"/>
                <w:color w:val="000000"/>
                <w:sz w:val="24"/>
              </w:rPr>
              <w:t>)</w:t>
            </w:r>
            <w:r>
              <w:rPr>
                <w:rFonts w:hint="eastAsia" w:ascii="宋体" w:hAnsi="宋体" w:cs="宋体"/>
                <w:color w:val="000000"/>
                <w:sz w:val="24"/>
              </w:rPr>
              <w:t>×</w:t>
            </w:r>
            <w:r>
              <w:rPr>
                <w:rFonts w:ascii="宋体" w:hAnsi="宋体" w:cs="宋体"/>
                <w:color w:val="000000"/>
                <w:sz w:val="24"/>
              </w:rPr>
              <w:t>45%</w:t>
            </w:r>
            <w:r>
              <w:rPr>
                <w:rFonts w:hint="eastAsia" w:ascii="宋体" w:hAnsi="宋体" w:cs="宋体"/>
                <w:color w:val="000000"/>
                <w:sz w:val="24"/>
              </w:rPr>
              <w:t>×</w:t>
            </w:r>
            <w:r>
              <w:rPr>
                <w:rFonts w:ascii="宋体" w:hAnsi="宋体" w:cs="宋体"/>
                <w:color w:val="000000"/>
                <w:sz w:val="24"/>
              </w:rPr>
              <w:t>100</w:t>
            </w:r>
            <w:r>
              <w:rPr>
                <w:rFonts w:hint="eastAsia" w:ascii="宋体" w:hAnsi="宋体" w:cs="宋体"/>
                <w:color w:val="000000"/>
                <w:sz w:val="24"/>
              </w:rPr>
              <w:t>。</w:t>
            </w:r>
          </w:p>
        </w:tc>
        <w:tc>
          <w:tcPr>
            <w:tcW w:w="825" w:type="dxa"/>
            <w:vAlign w:val="center"/>
          </w:tcPr>
          <w:p>
            <w:pPr>
              <w:spacing w:line="36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trPr>
        <w:tc>
          <w:tcPr>
            <w:tcW w:w="732" w:type="dxa"/>
            <w:vAlign w:val="center"/>
          </w:tcPr>
          <w:p>
            <w:pPr>
              <w:spacing w:line="360" w:lineRule="exact"/>
              <w:jc w:val="center"/>
              <w:rPr>
                <w:rFonts w:ascii="宋体" w:cs="宋体"/>
                <w:color w:val="000000"/>
                <w:sz w:val="24"/>
              </w:rPr>
            </w:pPr>
            <w:r>
              <w:rPr>
                <w:rFonts w:ascii="宋体" w:hAnsi="宋体" w:cs="宋体"/>
                <w:color w:val="000000"/>
                <w:sz w:val="24"/>
              </w:rPr>
              <w:t>2</w:t>
            </w:r>
          </w:p>
        </w:tc>
        <w:tc>
          <w:tcPr>
            <w:tcW w:w="1260" w:type="dxa"/>
            <w:vAlign w:val="center"/>
          </w:tcPr>
          <w:p>
            <w:pPr>
              <w:spacing w:line="360" w:lineRule="exact"/>
              <w:jc w:val="center"/>
              <w:rPr>
                <w:rFonts w:ascii="宋体" w:cs="宋体"/>
                <w:color w:val="000000"/>
                <w:sz w:val="24"/>
              </w:rPr>
            </w:pPr>
            <w:r>
              <w:rPr>
                <w:rFonts w:hint="eastAsia" w:ascii="宋体" w:hAnsi="宋体" w:cs="宋体"/>
                <w:color w:val="000000"/>
                <w:sz w:val="24"/>
              </w:rPr>
              <w:t>类似业绩</w:t>
            </w:r>
            <w:r>
              <w:rPr>
                <w:rFonts w:ascii="宋体" w:hAnsi="宋体" w:cs="宋体"/>
                <w:color w:val="000000"/>
                <w:sz w:val="24"/>
              </w:rPr>
              <w:t>10%</w:t>
            </w:r>
          </w:p>
        </w:tc>
        <w:tc>
          <w:tcPr>
            <w:tcW w:w="742" w:type="dxa"/>
            <w:vAlign w:val="center"/>
          </w:tcPr>
          <w:p>
            <w:pPr>
              <w:spacing w:line="360" w:lineRule="exact"/>
              <w:jc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分</w:t>
            </w:r>
          </w:p>
        </w:tc>
        <w:tc>
          <w:tcPr>
            <w:tcW w:w="5868" w:type="dxa"/>
            <w:vAlign w:val="center"/>
          </w:tcPr>
          <w:p>
            <w:pPr>
              <w:pStyle w:val="2"/>
              <w:spacing w:line="360" w:lineRule="exact"/>
              <w:rPr>
                <w:rFonts w:ascii="宋体" w:cs="宋体"/>
                <w:color w:val="000000"/>
                <w:sz w:val="24"/>
                <w:szCs w:val="22"/>
              </w:rPr>
            </w:pPr>
            <w:r>
              <w:rPr>
                <w:rFonts w:hint="eastAsia" w:ascii="宋体" w:hAnsi="宋体" w:cs="宋体"/>
                <w:color w:val="000000"/>
                <w:sz w:val="24"/>
                <w:szCs w:val="22"/>
              </w:rPr>
              <w:t>供应商提供类似业绩证明材料，每提供</w:t>
            </w:r>
            <w:r>
              <w:rPr>
                <w:rFonts w:ascii="宋体" w:hAnsi="宋体" w:cs="宋体"/>
                <w:color w:val="000000"/>
                <w:sz w:val="24"/>
                <w:szCs w:val="22"/>
              </w:rPr>
              <w:t>1</w:t>
            </w:r>
            <w:r>
              <w:rPr>
                <w:rFonts w:hint="eastAsia" w:ascii="宋体" w:hAnsi="宋体" w:cs="宋体"/>
                <w:color w:val="000000"/>
                <w:sz w:val="24"/>
                <w:szCs w:val="22"/>
              </w:rPr>
              <w:t>个得</w:t>
            </w:r>
            <w:r>
              <w:rPr>
                <w:rFonts w:ascii="宋体" w:hAnsi="宋体" w:cs="宋体"/>
                <w:color w:val="000000"/>
                <w:sz w:val="24"/>
                <w:szCs w:val="22"/>
              </w:rPr>
              <w:t>5</w:t>
            </w:r>
            <w:r>
              <w:rPr>
                <w:rFonts w:hint="eastAsia" w:ascii="宋体" w:hAnsi="宋体" w:cs="宋体"/>
                <w:color w:val="000000"/>
                <w:sz w:val="24"/>
                <w:szCs w:val="22"/>
              </w:rPr>
              <w:t>分，最多得</w:t>
            </w:r>
            <w:r>
              <w:rPr>
                <w:rFonts w:ascii="宋体" w:hAnsi="宋体" w:cs="宋体"/>
                <w:color w:val="000000"/>
                <w:sz w:val="24"/>
                <w:szCs w:val="22"/>
              </w:rPr>
              <w:t>10</w:t>
            </w:r>
            <w:r>
              <w:rPr>
                <w:rFonts w:hint="eastAsia" w:ascii="宋体" w:hAnsi="宋体" w:cs="宋体"/>
                <w:color w:val="000000"/>
                <w:sz w:val="24"/>
                <w:szCs w:val="22"/>
              </w:rPr>
              <w:t>分。</w:t>
            </w:r>
          </w:p>
        </w:tc>
        <w:tc>
          <w:tcPr>
            <w:tcW w:w="825" w:type="dxa"/>
            <w:vAlign w:val="center"/>
          </w:tcPr>
          <w:p>
            <w:pPr>
              <w:spacing w:line="360" w:lineRule="exact"/>
              <w:jc w:val="center"/>
              <w:rPr>
                <w:rFonts w:asci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trPr>
        <w:tc>
          <w:tcPr>
            <w:tcW w:w="732" w:type="dxa"/>
            <w:vAlign w:val="center"/>
          </w:tcPr>
          <w:p>
            <w:pPr>
              <w:spacing w:line="360" w:lineRule="exact"/>
              <w:jc w:val="center"/>
              <w:rPr>
                <w:rFonts w:ascii="宋体" w:cs="宋体"/>
                <w:color w:val="000000"/>
                <w:sz w:val="24"/>
              </w:rPr>
            </w:pPr>
            <w:r>
              <w:rPr>
                <w:rFonts w:ascii="宋体" w:hAnsi="宋体" w:cs="宋体"/>
                <w:color w:val="000000"/>
                <w:sz w:val="24"/>
              </w:rPr>
              <w:t>3</w:t>
            </w:r>
          </w:p>
        </w:tc>
        <w:tc>
          <w:tcPr>
            <w:tcW w:w="1260" w:type="dxa"/>
            <w:vAlign w:val="center"/>
          </w:tcPr>
          <w:p>
            <w:pPr>
              <w:autoSpaceDE w:val="0"/>
              <w:autoSpaceDN w:val="0"/>
              <w:adjustRightInd w:val="0"/>
              <w:spacing w:line="360" w:lineRule="exact"/>
              <w:jc w:val="center"/>
              <w:rPr>
                <w:rFonts w:ascii="宋体" w:hAnsi="宋体" w:cs="宋体"/>
                <w:bCs/>
                <w:color w:val="000000"/>
                <w:sz w:val="24"/>
              </w:rPr>
            </w:pPr>
            <w:r>
              <w:rPr>
                <w:rFonts w:hint="eastAsia" w:ascii="宋体" w:hAnsi="宋体" w:cs="宋体"/>
                <w:color w:val="000000"/>
                <w:sz w:val="24"/>
              </w:rPr>
              <w:t>项目实施方案</w:t>
            </w:r>
            <w:r>
              <w:rPr>
                <w:rFonts w:ascii="宋体" w:hAnsi="宋体" w:cs="宋体"/>
                <w:color w:val="000000"/>
                <w:sz w:val="24"/>
              </w:rPr>
              <w:t>40</w:t>
            </w:r>
            <w:r>
              <w:rPr>
                <w:rFonts w:ascii="宋体" w:hAnsi="宋体" w:cs="宋体"/>
                <w:bCs/>
                <w:color w:val="000000"/>
                <w:sz w:val="24"/>
              </w:rPr>
              <w:t>%</w:t>
            </w:r>
          </w:p>
        </w:tc>
        <w:tc>
          <w:tcPr>
            <w:tcW w:w="742" w:type="dxa"/>
            <w:vAlign w:val="center"/>
          </w:tcPr>
          <w:p>
            <w:pPr>
              <w:autoSpaceDE w:val="0"/>
              <w:autoSpaceDN w:val="0"/>
              <w:adjustRightInd w:val="0"/>
              <w:spacing w:line="360" w:lineRule="exact"/>
              <w:jc w:val="center"/>
              <w:rPr>
                <w:rFonts w:ascii="宋体" w:cs="宋体"/>
                <w:bCs/>
                <w:color w:val="000000"/>
                <w:sz w:val="24"/>
              </w:rPr>
            </w:pPr>
            <w:r>
              <w:rPr>
                <w:rFonts w:ascii="宋体" w:hAnsi="宋体" w:cs="宋体"/>
                <w:bCs/>
                <w:color w:val="000000"/>
                <w:sz w:val="24"/>
              </w:rPr>
              <w:t>40</w:t>
            </w:r>
            <w:r>
              <w:rPr>
                <w:rFonts w:hint="eastAsia" w:ascii="宋体" w:hAnsi="宋体" w:cs="宋体"/>
                <w:bCs/>
                <w:color w:val="000000"/>
                <w:sz w:val="24"/>
              </w:rPr>
              <w:t>分</w:t>
            </w:r>
          </w:p>
        </w:tc>
        <w:tc>
          <w:tcPr>
            <w:tcW w:w="5868" w:type="dxa"/>
            <w:vAlign w:val="center"/>
          </w:tcPr>
          <w:p>
            <w:pPr>
              <w:pStyle w:val="2"/>
              <w:spacing w:line="360" w:lineRule="exact"/>
              <w:rPr>
                <w:rFonts w:ascii="宋体" w:cs="宋体"/>
                <w:color w:val="000000"/>
                <w:sz w:val="24"/>
              </w:rPr>
            </w:pPr>
            <w:r>
              <w:rPr>
                <w:rFonts w:hint="eastAsia" w:ascii="宋体" w:hAnsi="宋体" w:cs="宋体"/>
                <w:color w:val="000000"/>
                <w:sz w:val="24"/>
              </w:rPr>
              <w:t>根据供应商提供的项目实施方案（进行综合评分。方案完整，描述清晰，针对性强的得</w:t>
            </w:r>
            <w:r>
              <w:rPr>
                <w:rFonts w:ascii="宋体" w:hAnsi="宋体" w:cs="宋体"/>
                <w:color w:val="000000"/>
                <w:sz w:val="24"/>
              </w:rPr>
              <w:t>40</w:t>
            </w:r>
            <w:r>
              <w:rPr>
                <w:rFonts w:hint="eastAsia" w:ascii="宋体" w:hAnsi="宋体" w:cs="宋体"/>
                <w:color w:val="000000"/>
                <w:sz w:val="24"/>
              </w:rPr>
              <w:t>分；方案较完整，描述较清晰，针对性较强的得</w:t>
            </w:r>
            <w:r>
              <w:rPr>
                <w:rFonts w:ascii="宋体" w:hAnsi="宋体" w:cs="宋体"/>
                <w:color w:val="000000"/>
                <w:sz w:val="24"/>
              </w:rPr>
              <w:t>30</w:t>
            </w:r>
            <w:r>
              <w:rPr>
                <w:rFonts w:hint="eastAsia" w:ascii="宋体" w:hAnsi="宋体" w:cs="宋体"/>
                <w:color w:val="000000"/>
                <w:sz w:val="24"/>
              </w:rPr>
              <w:t>分；方案简单，描述不清晰，针对性一般的得</w:t>
            </w:r>
            <w:r>
              <w:rPr>
                <w:rFonts w:ascii="宋体" w:hAnsi="宋体" w:cs="宋体"/>
                <w:color w:val="000000"/>
                <w:sz w:val="24"/>
              </w:rPr>
              <w:t>20</w:t>
            </w:r>
            <w:r>
              <w:rPr>
                <w:rFonts w:hint="eastAsia" w:ascii="宋体" w:hAnsi="宋体" w:cs="宋体"/>
                <w:color w:val="000000"/>
                <w:sz w:val="24"/>
              </w:rPr>
              <w:t>分，差或未提供的不得分。</w:t>
            </w:r>
          </w:p>
        </w:tc>
        <w:tc>
          <w:tcPr>
            <w:tcW w:w="825" w:type="dxa"/>
            <w:vAlign w:val="center"/>
          </w:tcPr>
          <w:p>
            <w:pPr>
              <w:spacing w:line="360" w:lineRule="exact"/>
              <w:jc w:val="center"/>
              <w:rPr>
                <w:rFonts w:ascii="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6" w:hRule="atLeast"/>
        </w:trPr>
        <w:tc>
          <w:tcPr>
            <w:tcW w:w="732" w:type="dxa"/>
            <w:tcBorders>
              <w:bottom w:val="single" w:color="auto" w:sz="12" w:space="0"/>
            </w:tcBorders>
            <w:vAlign w:val="center"/>
          </w:tcPr>
          <w:p>
            <w:pPr>
              <w:spacing w:line="360" w:lineRule="exact"/>
              <w:jc w:val="center"/>
              <w:rPr>
                <w:rFonts w:ascii="宋体" w:cs="宋体"/>
                <w:color w:val="000000"/>
                <w:sz w:val="24"/>
              </w:rPr>
            </w:pPr>
            <w:r>
              <w:rPr>
                <w:rFonts w:ascii="宋体" w:hAnsi="宋体" w:cs="宋体"/>
                <w:color w:val="000000"/>
                <w:sz w:val="24"/>
              </w:rPr>
              <w:t>4</w:t>
            </w:r>
          </w:p>
        </w:tc>
        <w:tc>
          <w:tcPr>
            <w:tcW w:w="1260" w:type="dxa"/>
            <w:tcBorders>
              <w:bottom w:val="single" w:color="auto" w:sz="12" w:space="0"/>
            </w:tcBorders>
            <w:vAlign w:val="center"/>
          </w:tcPr>
          <w:p>
            <w:pPr>
              <w:spacing w:line="360" w:lineRule="exact"/>
              <w:jc w:val="center"/>
              <w:rPr>
                <w:rFonts w:ascii="宋体" w:hAnsi="宋体" w:cs="宋体"/>
                <w:color w:val="000000"/>
                <w:sz w:val="24"/>
              </w:rPr>
            </w:pPr>
            <w:r>
              <w:rPr>
                <w:rFonts w:hint="eastAsia" w:ascii="宋体" w:hAnsi="宋体" w:cs="宋体"/>
                <w:color w:val="000000"/>
                <w:sz w:val="24"/>
              </w:rPr>
              <w:t>比选申请文件规范性</w:t>
            </w:r>
            <w:r>
              <w:rPr>
                <w:rFonts w:ascii="宋体" w:hAnsi="宋体" w:cs="宋体"/>
                <w:color w:val="000000"/>
                <w:sz w:val="24"/>
              </w:rPr>
              <w:t>5%</w:t>
            </w:r>
          </w:p>
        </w:tc>
        <w:tc>
          <w:tcPr>
            <w:tcW w:w="742" w:type="dxa"/>
            <w:tcBorders>
              <w:bottom w:val="single" w:color="auto" w:sz="12" w:space="0"/>
            </w:tcBorders>
            <w:vAlign w:val="center"/>
          </w:tcPr>
          <w:p>
            <w:pPr>
              <w:spacing w:line="360" w:lineRule="exact"/>
              <w:jc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分</w:t>
            </w:r>
          </w:p>
        </w:tc>
        <w:tc>
          <w:tcPr>
            <w:tcW w:w="5868" w:type="dxa"/>
            <w:tcBorders>
              <w:bottom w:val="single" w:color="auto" w:sz="12" w:space="0"/>
            </w:tcBorders>
            <w:vAlign w:val="center"/>
          </w:tcPr>
          <w:p>
            <w:pPr>
              <w:spacing w:line="360" w:lineRule="exact"/>
              <w:jc w:val="left"/>
              <w:rPr>
                <w:rFonts w:ascii="宋体" w:cs="宋体"/>
                <w:color w:val="000000"/>
                <w:sz w:val="24"/>
              </w:rPr>
            </w:pPr>
            <w:r>
              <w:rPr>
                <w:rFonts w:hint="eastAsia" w:ascii="宋体" w:hAnsi="宋体" w:cs="宋体"/>
                <w:color w:val="000000"/>
                <w:sz w:val="24"/>
              </w:rPr>
              <w:t>比选申请文件制作规范，没有细微偏差情形的得</w:t>
            </w:r>
            <w:r>
              <w:rPr>
                <w:rFonts w:ascii="宋体" w:hAnsi="宋体" w:cs="宋体"/>
                <w:color w:val="000000"/>
                <w:sz w:val="24"/>
              </w:rPr>
              <w:t>5</w:t>
            </w:r>
            <w:r>
              <w:rPr>
                <w:rFonts w:hint="eastAsia" w:ascii="宋体" w:hAnsi="宋体" w:cs="宋体"/>
                <w:color w:val="000000"/>
                <w:sz w:val="24"/>
              </w:rPr>
              <w:t>分；有一项细微偏差扣</w:t>
            </w:r>
            <w:r>
              <w:rPr>
                <w:rFonts w:ascii="宋体" w:hAnsi="宋体" w:cs="宋体"/>
                <w:color w:val="000000"/>
                <w:sz w:val="24"/>
              </w:rPr>
              <w:t>0.5</w:t>
            </w:r>
            <w:r>
              <w:rPr>
                <w:rFonts w:hint="eastAsia" w:ascii="宋体" w:hAnsi="宋体" w:cs="宋体"/>
                <w:color w:val="000000"/>
                <w:sz w:val="24"/>
              </w:rPr>
              <w:t>分，直至该项分值扣完为止。</w:t>
            </w:r>
          </w:p>
        </w:tc>
        <w:tc>
          <w:tcPr>
            <w:tcW w:w="825" w:type="dxa"/>
            <w:tcBorders>
              <w:bottom w:val="single" w:color="auto" w:sz="12" w:space="0"/>
            </w:tcBorders>
            <w:vAlign w:val="center"/>
          </w:tcPr>
          <w:p>
            <w:pPr>
              <w:spacing w:line="360" w:lineRule="exact"/>
              <w:jc w:val="center"/>
              <w:rPr>
                <w:rFonts w:ascii="宋体" w:cs="宋体"/>
                <w:color w:val="000000"/>
                <w:sz w:val="24"/>
              </w:rPr>
            </w:pPr>
          </w:p>
        </w:tc>
      </w:tr>
    </w:tbl>
    <w:p>
      <w:pPr>
        <w:tabs>
          <w:tab w:val="left" w:pos="720"/>
        </w:tabs>
        <w:spacing w:line="360" w:lineRule="exact"/>
        <w:rPr>
          <w:rFonts w:hAnsi="宋体"/>
          <w:sz w:val="24"/>
        </w:rPr>
      </w:pPr>
    </w:p>
    <w:p>
      <w:pPr>
        <w:pStyle w:val="5"/>
        <w:tabs>
          <w:tab w:val="left" w:pos="600"/>
        </w:tabs>
        <w:spacing w:line="400" w:lineRule="exact"/>
        <w:ind w:left="0" w:leftChars="0"/>
        <w:rPr>
          <w:rFonts w:hAnsi="宋体"/>
          <w:sz w:val="24"/>
        </w:rPr>
      </w:pPr>
    </w:p>
    <w:p>
      <w:pPr>
        <w:rPr>
          <w:rFonts w:ascii="宋体" w:cs="宋体"/>
          <w:bCs/>
          <w:sz w:val="28"/>
          <w:szCs w:val="28"/>
        </w:rPr>
      </w:pPr>
    </w:p>
    <w:p>
      <w:pPr>
        <w:rPr>
          <w:rFonts w:hint="eastAsia" w:eastAsia="宋体"/>
          <w:lang w:eastAsia="zh-CN"/>
        </w:rPr>
      </w:pPr>
      <w:bookmarkStart w:id="0" w:name="_GoBack"/>
      <w:bookmarkEnd w:id="0"/>
    </w:p>
    <w:sectPr>
      <w:pgSz w:w="11906" w:h="16838"/>
      <w:pgMar w:top="1440" w:right="1531" w:bottom="1440" w:left="1531" w:header="851" w:footer="1587" w:gutter="0"/>
      <w:cols w:space="0" w:num="1"/>
      <w:docGrid w:type="linesAndChars" w:linePitch="63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Helvetica Neue">
    <w:altName w:val="Segoe Print"/>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EC0F"/>
    <w:multiLevelType w:val="singleLevel"/>
    <w:tmpl w:val="5872EC0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1"/>
  <w:drawingGridVerticalSpacing w:val="317"/>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B3FE3"/>
    <w:rsid w:val="00015251"/>
    <w:rsid w:val="00047D96"/>
    <w:rsid w:val="00094413"/>
    <w:rsid w:val="00117629"/>
    <w:rsid w:val="00125F67"/>
    <w:rsid w:val="00180540"/>
    <w:rsid w:val="001F1E93"/>
    <w:rsid w:val="00432F54"/>
    <w:rsid w:val="005E11C4"/>
    <w:rsid w:val="00831133"/>
    <w:rsid w:val="008B3994"/>
    <w:rsid w:val="00A67C49"/>
    <w:rsid w:val="00A94432"/>
    <w:rsid w:val="00B71894"/>
    <w:rsid w:val="00D40F1A"/>
    <w:rsid w:val="00ED0B2E"/>
    <w:rsid w:val="012C707F"/>
    <w:rsid w:val="01993E64"/>
    <w:rsid w:val="0312024D"/>
    <w:rsid w:val="031F7285"/>
    <w:rsid w:val="03555EE1"/>
    <w:rsid w:val="03EA00BE"/>
    <w:rsid w:val="04075AAF"/>
    <w:rsid w:val="04861D4C"/>
    <w:rsid w:val="05C81C21"/>
    <w:rsid w:val="09DA58DE"/>
    <w:rsid w:val="09E60167"/>
    <w:rsid w:val="09FD4CFB"/>
    <w:rsid w:val="0B107FE7"/>
    <w:rsid w:val="0B1341BB"/>
    <w:rsid w:val="0B607428"/>
    <w:rsid w:val="0C42063F"/>
    <w:rsid w:val="0D67696A"/>
    <w:rsid w:val="0DA25FEB"/>
    <w:rsid w:val="0E9E589E"/>
    <w:rsid w:val="0EDE2399"/>
    <w:rsid w:val="0F8A603E"/>
    <w:rsid w:val="0FA458A4"/>
    <w:rsid w:val="0FAE21EE"/>
    <w:rsid w:val="101C48D3"/>
    <w:rsid w:val="110A4ACB"/>
    <w:rsid w:val="119B0F1E"/>
    <w:rsid w:val="122037CC"/>
    <w:rsid w:val="12CE20BC"/>
    <w:rsid w:val="135E1AC9"/>
    <w:rsid w:val="15DA6D8D"/>
    <w:rsid w:val="15FB678B"/>
    <w:rsid w:val="160004C2"/>
    <w:rsid w:val="16E81B70"/>
    <w:rsid w:val="179C51DF"/>
    <w:rsid w:val="18300AB4"/>
    <w:rsid w:val="1A2A1C59"/>
    <w:rsid w:val="1B1C1990"/>
    <w:rsid w:val="1B401EF4"/>
    <w:rsid w:val="1D445A99"/>
    <w:rsid w:val="1DA24002"/>
    <w:rsid w:val="1E93184D"/>
    <w:rsid w:val="1EA4181D"/>
    <w:rsid w:val="1F0E1BD3"/>
    <w:rsid w:val="1F1E63AF"/>
    <w:rsid w:val="200B3FE3"/>
    <w:rsid w:val="21AF660E"/>
    <w:rsid w:val="21C451E6"/>
    <w:rsid w:val="2247486F"/>
    <w:rsid w:val="226C692B"/>
    <w:rsid w:val="227D3A14"/>
    <w:rsid w:val="259330EB"/>
    <w:rsid w:val="26352F0D"/>
    <w:rsid w:val="275D4863"/>
    <w:rsid w:val="27C938F3"/>
    <w:rsid w:val="28647FC8"/>
    <w:rsid w:val="2C2D6D6D"/>
    <w:rsid w:val="2CAE71F3"/>
    <w:rsid w:val="2CB93687"/>
    <w:rsid w:val="2CC91A18"/>
    <w:rsid w:val="2CD147CE"/>
    <w:rsid w:val="2DCF37B5"/>
    <w:rsid w:val="308D1E8A"/>
    <w:rsid w:val="30DF20C8"/>
    <w:rsid w:val="30E1377A"/>
    <w:rsid w:val="321A730F"/>
    <w:rsid w:val="330B7C5F"/>
    <w:rsid w:val="351C28FC"/>
    <w:rsid w:val="3ACF145C"/>
    <w:rsid w:val="3C6E17C4"/>
    <w:rsid w:val="3C7559DD"/>
    <w:rsid w:val="3D194F83"/>
    <w:rsid w:val="3D9D1338"/>
    <w:rsid w:val="3EAE0034"/>
    <w:rsid w:val="42F2431F"/>
    <w:rsid w:val="43987A1C"/>
    <w:rsid w:val="43B26CE8"/>
    <w:rsid w:val="454533C6"/>
    <w:rsid w:val="463559DD"/>
    <w:rsid w:val="4C3D66CC"/>
    <w:rsid w:val="4C7B619C"/>
    <w:rsid w:val="4C815A59"/>
    <w:rsid w:val="4C951C7F"/>
    <w:rsid w:val="4D660681"/>
    <w:rsid w:val="4E6156EF"/>
    <w:rsid w:val="4FDF62CD"/>
    <w:rsid w:val="507A4657"/>
    <w:rsid w:val="50DE697C"/>
    <w:rsid w:val="51C63FDC"/>
    <w:rsid w:val="525155B7"/>
    <w:rsid w:val="53CA1DD7"/>
    <w:rsid w:val="545A2566"/>
    <w:rsid w:val="54724AC7"/>
    <w:rsid w:val="55274994"/>
    <w:rsid w:val="575531EE"/>
    <w:rsid w:val="587B771F"/>
    <w:rsid w:val="58C50474"/>
    <w:rsid w:val="59291B2C"/>
    <w:rsid w:val="59580A62"/>
    <w:rsid w:val="59C74168"/>
    <w:rsid w:val="5A702F17"/>
    <w:rsid w:val="5DD510F3"/>
    <w:rsid w:val="5DDD2EBB"/>
    <w:rsid w:val="5F235594"/>
    <w:rsid w:val="5FC73617"/>
    <w:rsid w:val="606075F0"/>
    <w:rsid w:val="60AD4F18"/>
    <w:rsid w:val="629B0FE7"/>
    <w:rsid w:val="64640B25"/>
    <w:rsid w:val="6464115C"/>
    <w:rsid w:val="6518656C"/>
    <w:rsid w:val="65413D00"/>
    <w:rsid w:val="658E64A0"/>
    <w:rsid w:val="6A1C7D61"/>
    <w:rsid w:val="6A2E39F5"/>
    <w:rsid w:val="6B1870AD"/>
    <w:rsid w:val="6C0F6799"/>
    <w:rsid w:val="6EC92568"/>
    <w:rsid w:val="6F922291"/>
    <w:rsid w:val="6FB342BC"/>
    <w:rsid w:val="6FF46031"/>
    <w:rsid w:val="70686A85"/>
    <w:rsid w:val="7157557F"/>
    <w:rsid w:val="71F5511D"/>
    <w:rsid w:val="74C428D0"/>
    <w:rsid w:val="754B7F92"/>
    <w:rsid w:val="75C56708"/>
    <w:rsid w:val="76026095"/>
    <w:rsid w:val="766718BE"/>
    <w:rsid w:val="781C29F7"/>
    <w:rsid w:val="79A05CCF"/>
    <w:rsid w:val="7A62144E"/>
    <w:rsid w:val="7B68589D"/>
    <w:rsid w:val="7B990B62"/>
    <w:rsid w:val="7C063705"/>
    <w:rsid w:val="7CAF4881"/>
    <w:rsid w:val="7E4D4F27"/>
    <w:rsid w:val="7E753BEA"/>
    <w:rsid w:val="7EF6046A"/>
    <w:rsid w:val="7FA652D3"/>
    <w:rsid w:val="7FE94B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99"/>
    <w:pPr>
      <w:keepNext/>
      <w:keepLines/>
      <w:spacing w:line="576" w:lineRule="auto"/>
      <w:outlineLvl w:val="0"/>
    </w:pPr>
    <w:rPr>
      <w:b/>
      <w:kern w:val="44"/>
      <w:sz w:val="44"/>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style>
  <w:style w:type="paragraph" w:styleId="4">
    <w:name w:val="annotation text"/>
    <w:basedOn w:val="1"/>
    <w:link w:val="13"/>
    <w:qFormat/>
    <w:uiPriority w:val="99"/>
    <w:pPr>
      <w:jc w:val="left"/>
    </w:pPr>
  </w:style>
  <w:style w:type="paragraph" w:styleId="5">
    <w:name w:val="Body Text Indent"/>
    <w:basedOn w:val="1"/>
    <w:link w:val="14"/>
    <w:qFormat/>
    <w:uiPriority w:val="99"/>
    <w:pPr>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1">
    <w:name w:val="标题 1 字符"/>
    <w:link w:val="3"/>
    <w:qFormat/>
    <w:uiPriority w:val="9"/>
    <w:rPr>
      <w:rFonts w:ascii="Calibri" w:hAnsi="Calibri"/>
      <w:b/>
      <w:bCs/>
      <w:kern w:val="44"/>
      <w:sz w:val="44"/>
      <w:szCs w:val="44"/>
    </w:rPr>
  </w:style>
  <w:style w:type="character" w:customStyle="1" w:styleId="12">
    <w:name w:val="正文文本 字符"/>
    <w:link w:val="2"/>
    <w:semiHidden/>
    <w:qFormat/>
    <w:uiPriority w:val="99"/>
    <w:rPr>
      <w:rFonts w:ascii="Calibri" w:hAnsi="Calibri"/>
      <w:szCs w:val="24"/>
    </w:rPr>
  </w:style>
  <w:style w:type="character" w:customStyle="1" w:styleId="13">
    <w:name w:val="批注文字 字符"/>
    <w:link w:val="4"/>
    <w:semiHidden/>
    <w:qFormat/>
    <w:uiPriority w:val="99"/>
    <w:rPr>
      <w:rFonts w:ascii="Calibri" w:hAnsi="Calibri"/>
      <w:szCs w:val="24"/>
    </w:rPr>
  </w:style>
  <w:style w:type="character" w:customStyle="1" w:styleId="14">
    <w:name w:val="正文文本缩进 字符"/>
    <w:link w:val="5"/>
    <w:semiHidden/>
    <w:qFormat/>
    <w:uiPriority w:val="99"/>
    <w:rPr>
      <w:rFonts w:ascii="Calibri" w:hAnsi="Calibri"/>
      <w:szCs w:val="24"/>
    </w:rPr>
  </w:style>
  <w:style w:type="character" w:customStyle="1" w:styleId="15">
    <w:name w:val="页脚 字符"/>
    <w:link w:val="6"/>
    <w:qFormat/>
    <w:locked/>
    <w:uiPriority w:val="99"/>
    <w:rPr>
      <w:rFonts w:ascii="Calibri" w:hAnsi="Calibri" w:eastAsia="宋体" w:cs="Times New Roman"/>
      <w:kern w:val="2"/>
      <w:sz w:val="18"/>
      <w:szCs w:val="18"/>
    </w:rPr>
  </w:style>
  <w:style w:type="character" w:customStyle="1" w:styleId="16">
    <w:name w:val="页眉 字符"/>
    <w:link w:val="7"/>
    <w:qFormat/>
    <w:locked/>
    <w:uiPriority w:val="99"/>
    <w:rPr>
      <w:rFonts w:ascii="Calibri" w:hAnsi="Calibri" w:eastAsia="宋体" w:cs="Times New Roman"/>
      <w:kern w:val="2"/>
      <w:sz w:val="18"/>
      <w:szCs w:val="18"/>
    </w:rPr>
  </w:style>
  <w:style w:type="paragraph" w:customStyle="1" w:styleId="17">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customStyle="1" w:styleId="18">
    <w:name w:val="无"/>
    <w:qFormat/>
    <w:uiPriority w:val="0"/>
  </w:style>
  <w:style w:type="character" w:customStyle="1" w:styleId="19">
    <w:name w:val="Hyperlink.0"/>
    <w:qFormat/>
    <w:uiPriority w:val="0"/>
    <w:rPr>
      <w:rFonts w:ascii="仿宋_GB2312" w:hAnsi="仿宋_GB2312" w:eastAsia="仿宋_GB2312" w:cs="仿宋_GB2312"/>
      <w:color w:val="333333"/>
      <w:sz w:val="28"/>
      <w:szCs w:val="28"/>
      <w:u w:val="none" w:color="333333"/>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227</Words>
  <Characters>1298</Characters>
  <Lines>10</Lines>
  <Paragraphs>3</Paragraphs>
  <ScaleCrop>false</ScaleCrop>
  <LinksUpToDate>false</LinksUpToDate>
  <CharactersWithSpaces>1522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2020-04-08T01:59:00Z</dcterms:created>
  <dc:creator>残联</dc:creator>
  <cp:lastModifiedBy>tf</cp:lastModifiedBy>
  <cp:lastPrinted>2020-04-08T03:06:00Z</cp:lastPrinted>
  <dcterms:modified xsi:type="dcterms:W3CDTF">2021-07-09T05:26:04Z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31D8027A14914934A3D50E2E5F20AE92</vt:lpwstr>
  </property>
</Properties>
</file>